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Concordia, Revista de Administración y Educación</w:t>
      </w:r>
    </w:p>
    <w:p w14:paraId="00000002">
      <w:pPr>
        <w:jc w:val="right"/>
        <w:rPr>
          <w:rFonts w:ascii="Times New Roman" w:hAnsi="Times New Roman" w:eastAsia="Times New Roman" w:cs="Times New Roman"/>
          <w:sz w:val="24"/>
          <w:szCs w:val="24"/>
        </w:rPr>
      </w:pPr>
    </w:p>
    <w:p w14:paraId="00000003">
      <w:pPr>
        <w:pStyle w:val="2"/>
        <w:keepNext w:val="0"/>
        <w:keepLines w:val="0"/>
        <w:shd w:val="clear" w:fill="FFFFFF"/>
        <w:spacing w:before="0" w:after="0" w:line="219" w:lineRule="auto"/>
        <w:jc w:val="center"/>
        <w:rPr>
          <w:rFonts w:ascii="Times New Roman" w:hAnsi="Times New Roman" w:eastAsia="Times New Roman" w:cs="Times New Roman"/>
          <w:b/>
          <w:bCs/>
          <w:color w:val="FFFFFF" w:themeColor="background1"/>
          <w:sz w:val="24"/>
          <w:szCs w:val="24"/>
          <w:highlight w:val="blue"/>
          <w14:textFill>
            <w14:solidFill>
              <w14:schemeClr w14:val="bg1"/>
            </w14:solidFill>
          </w14:textFill>
        </w:rPr>
      </w:pPr>
      <w:bookmarkStart w:id="0" w:name="_k8wz6bpx8nsd" w:colFirst="0" w:colLast="0"/>
      <w:bookmarkEnd w:id="0"/>
      <w:r>
        <w:rPr>
          <w:rFonts w:ascii="Times New Roman" w:hAnsi="Times New Roman" w:eastAsia="Times New Roman" w:cs="Times New Roman"/>
          <w:b/>
          <w:bCs/>
          <w:color w:val="FFFFFF" w:themeColor="background1"/>
          <w:sz w:val="24"/>
          <w:szCs w:val="24"/>
          <w:highlight w:val="blue"/>
          <w:rtl w:val="0"/>
          <w14:textFill>
            <w14:solidFill>
              <w14:schemeClr w14:val="bg1"/>
            </w14:solidFill>
          </w14:textFill>
        </w:rPr>
        <w:t>Review Article Structure</w:t>
      </w:r>
    </w:p>
    <w:p w14:paraId="00000004">
      <w:pPr>
        <w:shd w:val="clear" w:fill="FFFFFF"/>
        <w:spacing w:before="220" w:after="280" w:line="360" w:lineRule="auto"/>
        <w:jc w:val="center"/>
        <w:rPr>
          <w:rFonts w:ascii="Times New Roman" w:hAnsi="Times New Roman" w:eastAsia="Times New Roman" w:cs="Times New Roman"/>
          <w:b/>
          <w:bCs/>
          <w:i/>
          <w:iCs/>
          <w:color w:val="1B1B1E"/>
          <w:sz w:val="24"/>
          <w:szCs w:val="24"/>
        </w:rPr>
      </w:pPr>
      <w:r>
        <w:rPr>
          <w:rFonts w:ascii="Times New Roman" w:hAnsi="Times New Roman" w:eastAsia="Times New Roman" w:cs="Times New Roman"/>
          <w:b/>
          <w:bCs/>
          <w:color w:val="1B1B1E"/>
          <w:sz w:val="24"/>
          <w:szCs w:val="24"/>
          <w:rtl w:val="0"/>
        </w:rPr>
        <w:t>Spanish Title (Maximum 15 words)</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b/>
          <w:bCs/>
          <w:i/>
          <w:iCs/>
          <w:color w:val="1B1B1E"/>
          <w:sz w:val="24"/>
          <w:szCs w:val="24"/>
          <w:rtl w:val="0"/>
        </w:rPr>
        <w:t>English Title (Maximum 15 words)</w:t>
      </w:r>
      <w:bookmarkStart w:id="3" w:name="_GoBack"/>
      <w:bookmarkEnd w:id="3"/>
    </w:p>
    <w:p w14:paraId="00000005">
      <w:pPr>
        <w:shd w:val="clear" w:fill="FFFFFF"/>
        <w:spacing w:before="220" w:after="280" w:line="360" w:lineRule="auto"/>
        <w:jc w:val="center"/>
        <w:rPr>
          <w:rFonts w:ascii="Times New Roman" w:hAnsi="Times New Roman" w:eastAsia="Times New Roman" w:cs="Times New Roman"/>
          <w:i/>
          <w:iCs/>
          <w:color w:val="1B1B1E"/>
          <w:sz w:val="24"/>
          <w:szCs w:val="24"/>
        </w:rPr>
      </w:pPr>
      <w:r>
        <w:rPr>
          <w:rFonts w:ascii="Times New Roman" w:hAnsi="Times New Roman" w:eastAsia="Times New Roman" w:cs="Times New Roman"/>
          <w:i/>
          <w:iCs/>
          <w:color w:val="1B1B1E"/>
          <w:sz w:val="24"/>
          <w:szCs w:val="24"/>
          <w:rtl w:val="0"/>
        </w:rPr>
        <w:t>The title must be brief and clear, reflecting the article's subject matter in both Spanish and English. The editor may suggest modifications to maximize the article's influence and ensure compliance with journal standards.</w:t>
      </w:r>
    </w:p>
    <w:p w14:paraId="00000006">
      <w:pPr>
        <w:shd w:val="clear" w:fill="FFFFFF"/>
        <w:spacing w:before="220" w:after="280" w:line="36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b/>
          <w:bCs/>
          <w:color w:val="1B1B1E"/>
          <w:sz w:val="24"/>
          <w:szCs w:val="24"/>
          <w:rtl w:val="0"/>
        </w:rPr>
        <w:t>ABSTRACT</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color w:val="1B1B1E"/>
          <w:sz w:val="24"/>
          <w:szCs w:val="24"/>
          <w:rtl w:val="0"/>
        </w:rPr>
        <w:t xml:space="preserve">Summarize the subject matter, research or analysis objectives, methodology, findings, and conclusions within a limit of </w:t>
      </w:r>
      <w:r>
        <w:rPr>
          <w:rFonts w:ascii="Times New Roman" w:hAnsi="Times New Roman" w:eastAsia="Times New Roman" w:cs="Times New Roman"/>
          <w:b/>
          <w:bCs/>
          <w:color w:val="1B1B1E"/>
          <w:sz w:val="24"/>
          <w:szCs w:val="24"/>
          <w:rtl w:val="0"/>
        </w:rPr>
        <w:t>150 to 160 words</w:t>
      </w:r>
      <w:r>
        <w:rPr>
          <w:rFonts w:ascii="Times New Roman" w:hAnsi="Times New Roman" w:eastAsia="Times New Roman" w:cs="Times New Roman"/>
          <w:color w:val="1B1B1E"/>
          <w:sz w:val="24"/>
          <w:szCs w:val="24"/>
          <w:rtl w:val="0"/>
        </w:rPr>
        <w:t xml:space="preserve">, using the </w:t>
      </w:r>
      <w:r>
        <w:rPr>
          <w:rFonts w:ascii="Times New Roman" w:hAnsi="Times New Roman" w:eastAsia="Times New Roman" w:cs="Times New Roman"/>
          <w:b/>
          <w:bCs/>
          <w:color w:val="1B1B1E"/>
          <w:sz w:val="24"/>
          <w:szCs w:val="24"/>
          <w:rtl w:val="0"/>
        </w:rPr>
        <w:t>IMRAD system</w:t>
      </w:r>
      <w:r>
        <w:rPr>
          <w:rFonts w:ascii="Times New Roman" w:hAnsi="Times New Roman" w:eastAsia="Times New Roman" w:cs="Times New Roman"/>
          <w:color w:val="1B1B1E"/>
          <w:sz w:val="24"/>
          <w:szCs w:val="24"/>
          <w:rtl w:val="0"/>
        </w:rPr>
        <w:t xml:space="preserve"> (Introduction, Methods, Results, and Discussion).</w:t>
      </w:r>
    </w:p>
    <w:p w14:paraId="00000007">
      <w:pPr>
        <w:shd w:val="clear" w:fill="FFFFFF"/>
        <w:spacing w:before="220" w:after="28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bCs/>
          <w:color w:val="1B1B1E"/>
          <w:sz w:val="24"/>
          <w:szCs w:val="24"/>
          <w:rtl w:val="0"/>
        </w:rPr>
        <w:t>KEYWORDS</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color w:val="1B1B1E"/>
          <w:sz w:val="24"/>
          <w:szCs w:val="24"/>
          <w:rtl w:val="0"/>
        </w:rPr>
        <w:t xml:space="preserve">Provide </w:t>
      </w:r>
      <w:r>
        <w:rPr>
          <w:rFonts w:ascii="Times New Roman" w:hAnsi="Times New Roman" w:eastAsia="Times New Roman" w:cs="Times New Roman"/>
          <w:b/>
          <w:bCs/>
          <w:color w:val="1B1B1E"/>
          <w:sz w:val="24"/>
          <w:szCs w:val="24"/>
          <w:rtl w:val="0"/>
        </w:rPr>
        <w:t>5 keywords in English</w:t>
      </w:r>
      <w:r>
        <w:rPr>
          <w:rFonts w:ascii="Times New Roman" w:hAnsi="Times New Roman" w:eastAsia="Times New Roman" w:cs="Times New Roman"/>
          <w:color w:val="1B1B1E"/>
          <w:sz w:val="24"/>
          <w:szCs w:val="24"/>
          <w:rtl w:val="0"/>
        </w:rPr>
        <w:t xml:space="preserve">, ordered alphabetically. We suggest consulting the </w:t>
      </w:r>
      <w:r>
        <w:rPr>
          <w:rFonts w:ascii="Times New Roman" w:hAnsi="Times New Roman" w:eastAsia="Times New Roman" w:cs="Times New Roman"/>
          <w:b/>
          <w:bCs/>
          <w:color w:val="1B1B1E"/>
          <w:sz w:val="24"/>
          <w:szCs w:val="24"/>
          <w:rtl w:val="0"/>
        </w:rPr>
        <w:t>UNESCO Thesaurus</w:t>
      </w:r>
      <w:r>
        <w:rPr>
          <w:rFonts w:ascii="Times New Roman" w:hAnsi="Times New Roman" w:eastAsia="Times New Roman" w:cs="Times New Roman"/>
          <w:color w:val="1B1B1E"/>
          <w:sz w:val="24"/>
          <w:szCs w:val="24"/>
          <w:rtl w:val="0"/>
        </w:rPr>
        <w:t xml:space="preserve">: </w:t>
      </w:r>
      <w:r>
        <w:fldChar w:fldCharType="begin"/>
      </w:r>
      <w:r>
        <w:instrText xml:space="preserve"> HYPERLINK "http://vocabularies.unesco.org/browser/thesaurus/en/" \h </w:instrText>
      </w:r>
      <w:r>
        <w:fldChar w:fldCharType="separate"/>
      </w:r>
      <w:r>
        <w:rPr>
          <w:rFonts w:ascii="Times New Roman" w:hAnsi="Times New Roman" w:eastAsia="Times New Roman" w:cs="Times New Roman"/>
          <w:color w:val="2483E2"/>
          <w:sz w:val="24"/>
          <w:szCs w:val="24"/>
          <w:rtl w:val="0"/>
        </w:rPr>
        <w:t>http://vocabularies.unesco.org/browser/thesaurus/en/</w:t>
      </w:r>
      <w:r>
        <w:rPr>
          <w:rFonts w:ascii="Times New Roman" w:hAnsi="Times New Roman" w:eastAsia="Times New Roman" w:cs="Times New Roman"/>
          <w:color w:val="2483E2"/>
          <w:sz w:val="24"/>
          <w:szCs w:val="24"/>
          <w:rtl w:val="0"/>
        </w:rPr>
        <w:fldChar w:fldCharType="end"/>
      </w:r>
      <w:r>
        <w:rPr>
          <w:rFonts w:ascii="Times New Roman" w:hAnsi="Times New Roman" w:eastAsia="Times New Roman" w:cs="Times New Roman"/>
          <w:color w:val="1B1B1E"/>
          <w:sz w:val="24"/>
          <w:szCs w:val="24"/>
          <w:rtl w:val="0"/>
        </w:rPr>
        <w:t xml:space="preserve"> or the </w:t>
      </w:r>
      <w:r>
        <w:rPr>
          <w:rFonts w:ascii="Times New Roman" w:hAnsi="Times New Roman" w:eastAsia="Times New Roman" w:cs="Times New Roman"/>
          <w:b/>
          <w:bCs/>
          <w:color w:val="1B1B1E"/>
          <w:sz w:val="24"/>
          <w:szCs w:val="24"/>
          <w:rtl w:val="0"/>
        </w:rPr>
        <w:t>ERIC Thesaurus</w:t>
      </w:r>
      <w:r>
        <w:rPr>
          <w:rFonts w:ascii="Times New Roman" w:hAnsi="Times New Roman" w:eastAsia="Times New Roman" w:cs="Times New Roman"/>
          <w:color w:val="1B1B1E"/>
          <w:sz w:val="24"/>
          <w:szCs w:val="24"/>
          <w:rtl w:val="0"/>
        </w:rPr>
        <w:t xml:space="preserve">: </w:t>
      </w:r>
      <w:r>
        <w:fldChar w:fldCharType="begin"/>
      </w:r>
      <w:r>
        <w:instrText xml:space="preserve"> HYPERLINK "https://eric.ed.gov/" \h </w:instrText>
      </w:r>
      <w:r>
        <w:fldChar w:fldCharType="separate"/>
      </w:r>
      <w:r>
        <w:rPr>
          <w:rFonts w:ascii="Times New Roman" w:hAnsi="Times New Roman" w:eastAsia="Times New Roman" w:cs="Times New Roman"/>
          <w:color w:val="2483E2"/>
          <w:sz w:val="24"/>
          <w:szCs w:val="24"/>
          <w:rtl w:val="0"/>
        </w:rPr>
        <w:t>https://eric.ed.gov/</w:t>
      </w:r>
      <w:r>
        <w:rPr>
          <w:rFonts w:ascii="Times New Roman" w:hAnsi="Times New Roman" w:eastAsia="Times New Roman" w:cs="Times New Roman"/>
          <w:color w:val="2483E2"/>
          <w:sz w:val="24"/>
          <w:szCs w:val="24"/>
          <w:rtl w:val="0"/>
        </w:rPr>
        <w:fldChar w:fldCharType="end"/>
      </w:r>
    </w:p>
    <w:p w14:paraId="00000008">
      <w:pPr>
        <w:pStyle w:val="3"/>
        <w:keepNext w:val="0"/>
        <w:keepLines w:val="0"/>
        <w:shd w:val="clear" w:fill="FFFFFF"/>
        <w:spacing w:before="0" w:after="0"/>
        <w:jc w:val="both"/>
        <w:rPr>
          <w:rFonts w:ascii="Times New Roman" w:hAnsi="Times New Roman" w:eastAsia="Times New Roman" w:cs="Times New Roman"/>
          <w:b/>
          <w:bCs/>
          <w:color w:val="1B1B1E"/>
          <w:sz w:val="24"/>
          <w:szCs w:val="24"/>
        </w:rPr>
      </w:pPr>
      <w:bookmarkStart w:id="1" w:name="_lbbxvgz8nrns" w:colFirst="0" w:colLast="0"/>
      <w:bookmarkEnd w:id="1"/>
      <w:r>
        <w:rPr>
          <w:rFonts w:ascii="Times New Roman" w:hAnsi="Times New Roman" w:eastAsia="Times New Roman" w:cs="Times New Roman"/>
          <w:b/>
          <w:bCs/>
          <w:color w:val="1B1B1E"/>
          <w:sz w:val="24"/>
          <w:szCs w:val="24"/>
          <w:rtl w:val="0"/>
        </w:rPr>
        <w:t>Review Article Structure</w:t>
      </w:r>
    </w:p>
    <w:p w14:paraId="00000009">
      <w:pPr>
        <w:shd w:val="clear" w:fill="FFFFFF"/>
        <w:spacing w:before="220" w:after="280" w:line="360" w:lineRule="auto"/>
        <w:jc w:val="both"/>
        <w:rPr>
          <w:rFonts w:ascii="Times New Roman" w:hAnsi="Times New Roman" w:eastAsia="Times New Roman" w:cs="Times New Roman"/>
          <w:b/>
          <w:bCs/>
          <w:color w:val="1B1B1E"/>
          <w:sz w:val="24"/>
          <w:szCs w:val="24"/>
        </w:rPr>
      </w:pPr>
      <w:r>
        <w:rPr>
          <w:rFonts w:ascii="Times New Roman" w:hAnsi="Times New Roman" w:eastAsia="Times New Roman" w:cs="Times New Roman"/>
          <w:color w:val="1B1B1E"/>
          <w:sz w:val="24"/>
          <w:szCs w:val="24"/>
          <w:rtl w:val="0"/>
        </w:rPr>
        <w:t xml:space="preserve">The review article must be organized into key sections, including: </w:t>
      </w:r>
      <w:r>
        <w:rPr>
          <w:rFonts w:ascii="Times New Roman" w:hAnsi="Times New Roman" w:eastAsia="Times New Roman" w:cs="Times New Roman"/>
          <w:b/>
          <w:bCs/>
          <w:color w:val="1B1B1E"/>
          <w:sz w:val="24"/>
          <w:szCs w:val="24"/>
          <w:rtl w:val="0"/>
        </w:rPr>
        <w:t>"Introduction," "Method," "Development," "Discussion," "Conclusions," and "References."</w:t>
      </w:r>
    </w:p>
    <w:p w14:paraId="0000000A">
      <w:pPr>
        <w:numPr>
          <w:ilvl w:val="0"/>
          <w:numId w:val="1"/>
        </w:numPr>
        <w:shd w:val="clear" w:fill="FFFFFF"/>
        <w:spacing w:before="22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Introduction:</w:t>
      </w:r>
      <w:r>
        <w:rPr>
          <w:rFonts w:ascii="Times New Roman" w:hAnsi="Times New Roman" w:eastAsia="Times New Roman" w:cs="Times New Roman"/>
          <w:color w:val="1B1B1E"/>
          <w:sz w:val="24"/>
          <w:szCs w:val="24"/>
          <w:rtl w:val="0"/>
        </w:rPr>
        <w:t xml:space="preserve"> This section establishes the central premise that guides the article, clarifying the purpose and outlining the objectives. Furthermore, it presents the conceptual perspective that shapes the development of the text, providing a theoretical framework to contextualize the argument. This segment seeks to captivate the reader, establish conceptual foundations, and provide clear direction for the article.</w:t>
      </w:r>
    </w:p>
    <w:p w14:paraId="0000000B">
      <w:pPr>
        <w:numPr>
          <w:ilvl w:val="0"/>
          <w:numId w:val="1"/>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Method:</w:t>
      </w:r>
      <w:r>
        <w:rPr>
          <w:rFonts w:ascii="Times New Roman" w:hAnsi="Times New Roman" w:eastAsia="Times New Roman" w:cs="Times New Roman"/>
          <w:color w:val="1B1B1E"/>
          <w:sz w:val="24"/>
          <w:szCs w:val="24"/>
          <w:rtl w:val="0"/>
        </w:rPr>
        <w:t xml:space="preserve"> Provide a thorough description of both the theory and methodology employed, encompassing both conceptual and operational definitions of the variables. The description must be detailed enough to allow the study to be replicated.</w:t>
      </w:r>
    </w:p>
    <w:p w14:paraId="0000000C">
      <w:pPr>
        <w:numPr>
          <w:ilvl w:val="0"/>
          <w:numId w:val="1"/>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Development:</w:t>
      </w:r>
      <w:r>
        <w:rPr>
          <w:rFonts w:ascii="Times New Roman" w:hAnsi="Times New Roman" w:eastAsia="Times New Roman" w:cs="Times New Roman"/>
          <w:color w:val="1B1B1E"/>
          <w:sz w:val="24"/>
          <w:szCs w:val="24"/>
          <w:rtl w:val="0"/>
        </w:rPr>
        <w:t xml:space="preserve"> Present the results objectively. Summarize and analyze the most relevant data, utilizing tables, graphs, and figures where appropriate.</w:t>
      </w:r>
    </w:p>
    <w:p w14:paraId="0000000D">
      <w:pPr>
        <w:numPr>
          <w:ilvl w:val="0"/>
          <w:numId w:val="1"/>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Discussion:</w:t>
      </w:r>
      <w:r>
        <w:rPr>
          <w:rFonts w:ascii="Times New Roman" w:hAnsi="Times New Roman" w:eastAsia="Times New Roman" w:cs="Times New Roman"/>
          <w:color w:val="1B1B1E"/>
          <w:sz w:val="24"/>
          <w:szCs w:val="24"/>
          <w:rtl w:val="0"/>
        </w:rPr>
        <w:t xml:space="preserve"> Contrast the results with previous research, highlighting identified contributions, insights, and differences.</w:t>
      </w:r>
    </w:p>
    <w:p w14:paraId="0000000E">
      <w:pPr>
        <w:numPr>
          <w:ilvl w:val="0"/>
          <w:numId w:val="2"/>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Conclusion:</w:t>
      </w:r>
      <w:r>
        <w:rPr>
          <w:rFonts w:ascii="Times New Roman" w:hAnsi="Times New Roman" w:eastAsia="Times New Roman" w:cs="Times New Roman"/>
          <w:color w:val="1B1B1E"/>
          <w:sz w:val="24"/>
          <w:szCs w:val="24"/>
          <w:rtl w:val="0"/>
        </w:rPr>
        <w:t xml:space="preserve"> In this final section, the conclusion synthesizes the article's argumentation, summarizing essential points and highlighting significant reflections. It seeks to close the argumentative cycle coherently, leaving a lasting impression on the reader. In addition to summarizing key information, the conclusion may include suggestions for future research or reflections on the relevance of the thesis within a broader context.</w:t>
      </w:r>
    </w:p>
    <w:p w14:paraId="0000000F">
      <w:pPr>
        <w:numPr>
          <w:ilvl w:val="0"/>
          <w:numId w:val="2"/>
        </w:numPr>
        <w:shd w:val="clear" w:fill="FFFFFF"/>
        <w:spacing w:before="0" w:beforeAutospacing="0" w:after="220" w:line="360" w:lineRule="auto"/>
        <w:ind w:left="720" w:hanging="360"/>
        <w:jc w:val="both"/>
        <w:rPr>
          <w:sz w:val="24"/>
          <w:szCs w:val="24"/>
        </w:rPr>
      </w:pPr>
      <w:r>
        <w:rPr>
          <w:rFonts w:ascii="Times New Roman" w:hAnsi="Times New Roman" w:eastAsia="Times New Roman" w:cs="Times New Roman"/>
          <w:b/>
          <w:bCs/>
          <w:color w:val="1B1B1E"/>
          <w:sz w:val="24"/>
          <w:szCs w:val="24"/>
          <w:rtl w:val="0"/>
        </w:rPr>
        <w:t>References:</w:t>
      </w:r>
      <w:r>
        <w:rPr>
          <w:rFonts w:ascii="Times New Roman" w:hAnsi="Times New Roman" w:eastAsia="Times New Roman" w:cs="Times New Roman"/>
          <w:color w:val="1B1B1E"/>
          <w:sz w:val="24"/>
          <w:szCs w:val="24"/>
          <w:rtl w:val="0"/>
        </w:rPr>
        <w:t xml:space="preserve"> This section provides a detailed list of all sources cited throughout the article, following APA format. This component is essential to support the work's credibility and academic integrity, allowing readers to access the original sources. The inclusion of appropriate references demonstrates the author's diligence in grounding their arguments in existing research and acknowledging the contributions of other scholars.</w:t>
      </w:r>
    </w:p>
    <w:p w14:paraId="00000010">
      <w:pPr>
        <w:pStyle w:val="3"/>
        <w:keepNext w:val="0"/>
        <w:keepLines w:val="0"/>
        <w:shd w:val="clear" w:fill="FFFFFF"/>
        <w:spacing w:before="0" w:after="0"/>
        <w:jc w:val="both"/>
        <w:rPr>
          <w:rFonts w:ascii="Times New Roman" w:hAnsi="Times New Roman" w:eastAsia="Times New Roman" w:cs="Times New Roman"/>
          <w:b/>
          <w:bCs/>
          <w:color w:val="1B1B1E"/>
          <w:sz w:val="24"/>
          <w:szCs w:val="24"/>
        </w:rPr>
      </w:pPr>
      <w:bookmarkStart w:id="2" w:name="_w9czb2xwajpv" w:colFirst="0" w:colLast="0"/>
      <w:bookmarkEnd w:id="2"/>
      <w:r>
        <w:rPr>
          <w:rFonts w:ascii="Times New Roman" w:hAnsi="Times New Roman" w:eastAsia="Times New Roman" w:cs="Times New Roman"/>
          <w:b/>
          <w:bCs/>
          <w:color w:val="1B1B1E"/>
          <w:sz w:val="24"/>
          <w:szCs w:val="24"/>
          <w:rtl w:val="0"/>
        </w:rPr>
        <w:t>About</w:t>
      </w:r>
    </w:p>
    <w:p w14:paraId="00000011">
      <w:pPr>
        <w:numPr>
          <w:ilvl w:val="0"/>
          <w:numId w:val="3"/>
        </w:numPr>
        <w:shd w:val="clear" w:fill="FFFFFF"/>
        <w:spacing w:before="22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Author Contributions:</w:t>
      </w:r>
      <w:r>
        <w:rPr>
          <w:rFonts w:ascii="Times New Roman" w:hAnsi="Times New Roman" w:eastAsia="Times New Roman" w:cs="Times New Roman"/>
          <w:color w:val="1B1B1E"/>
          <w:sz w:val="24"/>
          <w:szCs w:val="24"/>
          <w:rtl w:val="0"/>
        </w:rPr>
        <w:t xml:space="preserve"> All authors contributed to the study's conceptualization, methodological development, data analysis and interpretation, manuscript drafting, and critical revision of its intellectual content. All authors have approved the final version for publication.</w:t>
      </w:r>
    </w:p>
    <w:p w14:paraId="00000012">
      <w:pPr>
        <w:numPr>
          <w:ilvl w:val="0"/>
          <w:numId w:val="3"/>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Funding:</w:t>
      </w:r>
      <w:r>
        <w:rPr>
          <w:rFonts w:ascii="Times New Roman" w:hAnsi="Times New Roman" w:eastAsia="Times New Roman" w:cs="Times New Roman"/>
          <w:color w:val="1B1B1E"/>
          <w:sz w:val="24"/>
          <w:szCs w:val="24"/>
          <w:rtl w:val="0"/>
        </w:rPr>
        <w:t xml:space="preserve"> The authors declare that they received no funding for this research.</w:t>
      </w:r>
    </w:p>
    <w:p w14:paraId="00000013">
      <w:pPr>
        <w:numPr>
          <w:ilvl w:val="0"/>
          <w:numId w:val="3"/>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Conflict of Interest:</w:t>
      </w:r>
      <w:r>
        <w:rPr>
          <w:rFonts w:ascii="Times New Roman" w:hAnsi="Times New Roman" w:eastAsia="Times New Roman" w:cs="Times New Roman"/>
          <w:color w:val="1B1B1E"/>
          <w:sz w:val="24"/>
          <w:szCs w:val="24"/>
          <w:rtl w:val="0"/>
        </w:rPr>
        <w:t xml:space="preserve"> The author declares no conflict of interest.</w:t>
      </w:r>
    </w:p>
    <w:p w14:paraId="00000014">
      <w:pPr>
        <w:numPr>
          <w:ilvl w:val="0"/>
          <w:numId w:val="3"/>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Ethical Approval:</w:t>
      </w:r>
      <w:r>
        <w:rPr>
          <w:rFonts w:ascii="Times New Roman" w:hAnsi="Times New Roman" w:eastAsia="Times New Roman" w:cs="Times New Roman"/>
          <w:color w:val="1B1B1E"/>
          <w:sz w:val="24"/>
          <w:szCs w:val="24"/>
          <w:rtl w:val="0"/>
        </w:rPr>
        <w:t xml:space="preserve"> The protocol for this study was reviewed and approved by the University’s Research Ethics Committee, in compliance with applicable ethical principles and institutional regulations.</w:t>
      </w:r>
    </w:p>
    <w:p w14:paraId="00000015">
      <w:pPr>
        <w:numPr>
          <w:ilvl w:val="0"/>
          <w:numId w:val="3"/>
        </w:numPr>
        <w:shd w:val="clear" w:fill="FFFFFF"/>
        <w:spacing w:before="0" w:beforeAutospacing="0" w:after="220" w:line="360" w:lineRule="auto"/>
        <w:ind w:left="720" w:hanging="360"/>
        <w:jc w:val="both"/>
        <w:rPr>
          <w:sz w:val="24"/>
          <w:szCs w:val="24"/>
        </w:rPr>
      </w:pPr>
      <w:r>
        <w:rPr>
          <w:rFonts w:ascii="Times New Roman" w:hAnsi="Times New Roman" w:eastAsia="Times New Roman" w:cs="Times New Roman"/>
          <w:b/>
          <w:bCs/>
          <w:color w:val="1B1B1E"/>
          <w:sz w:val="24"/>
          <w:szCs w:val="24"/>
          <w:rtl w:val="0"/>
        </w:rPr>
        <w:t>Open Science Objects:</w:t>
      </w:r>
      <w:r>
        <w:rPr>
          <w:rFonts w:ascii="Times New Roman" w:hAnsi="Times New Roman" w:eastAsia="Times New Roman" w:cs="Times New Roman"/>
          <w:color w:val="1B1B1E"/>
          <w:sz w:val="24"/>
          <w:szCs w:val="24"/>
          <w:rtl w:val="0"/>
        </w:rPr>
        <w:t xml:space="preserve"> Indicate the Data Management Plan (DMP) in the following format: </w:t>
      </w:r>
      <w:r>
        <w:fldChar w:fldCharType="begin"/>
      </w:r>
      <w:r>
        <w:instrText xml:space="preserve"> HYPERLINK "https://doi.org/10.33996/revistahorizontes.v10i41.1195" \h </w:instrText>
      </w:r>
      <w:r>
        <w:fldChar w:fldCharType="separate"/>
      </w:r>
      <w:r>
        <w:rPr>
          <w:rFonts w:ascii="Times New Roman" w:hAnsi="Times New Roman" w:eastAsia="Times New Roman" w:cs="Times New Roman"/>
          <w:color w:val="2483E2"/>
          <w:sz w:val="24"/>
          <w:szCs w:val="24"/>
          <w:rtl w:val="0"/>
        </w:rPr>
        <w:t>https://doi.org/10.33996/revistahorizontes.v10i41.1195</w:t>
      </w:r>
      <w:r>
        <w:rPr>
          <w:rFonts w:ascii="Times New Roman" w:hAnsi="Times New Roman" w:eastAsia="Times New Roman" w:cs="Times New Roman"/>
          <w:color w:val="2483E2"/>
          <w:sz w:val="24"/>
          <w:szCs w:val="24"/>
          <w:rtl w:val="0"/>
        </w:rPr>
        <w:fldChar w:fldCharType="end"/>
      </w:r>
    </w:p>
    <w:p w14:paraId="00000016">
      <w:pPr>
        <w:rPr>
          <w:rFonts w:ascii="Times New Roman" w:hAnsi="Times New Roman" w:eastAsia="Times New Roman" w:cs="Times New Roman"/>
          <w:sz w:val="24"/>
          <w:szCs w:val="24"/>
        </w:rPr>
      </w:pPr>
    </w:p>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embedRegular r:id="rId1" w:fontKey="{07116283-1642-4372-8DD5-20442178678D}"/>
  </w:font>
  <w:font w:name="Courier New">
    <w:panose1 w:val="02070309020205020404"/>
    <w:charset w:val="00"/>
    <w:family w:val="modern"/>
    <w:pitch w:val="default"/>
    <w:sig w:usb0="E0002EFF" w:usb1="C0007843" w:usb2="00000009" w:usb3="00000000" w:csb0="400001FF" w:csb1="FFFF0000"/>
    <w:embedRegular r:id="rId2" w:fontKey="{FE677123-279D-47D3-BFCF-FFC1BF8E3BCB}"/>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embedRegular r:id="rId3" w:fontKey="{345B7AFC-C30F-43EC-9E21-D47165283014}"/>
  </w:font>
  <w:font w:name="Calibri">
    <w:panose1 w:val="020F0502020204030204"/>
    <w:charset w:val="00"/>
    <w:family w:val="swiss"/>
    <w:pitch w:val="default"/>
    <w:sig w:usb0="E4002EFF" w:usb1="C000247B" w:usb2="00000009" w:usb3="00000000" w:csb0="200001FF" w:csb1="00000000"/>
    <w:embedRegular r:id="rId4" w:fontKey="{29707CAC-30AB-4673-A7A1-9796DBBB996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bullet"/>
      <w:lvlText w:val="●"/>
      <w:lvlJc w:val="left"/>
      <w:pPr>
        <w:ind w:left="720" w:hanging="360"/>
      </w:pPr>
      <w:rPr>
        <w:rFonts w:ascii="Arial" w:hAnsi="Arial" w:eastAsia="Arial" w:cs="Arial"/>
        <w:b w:val="0"/>
        <w:bCs w:val="0"/>
        <w:i w:val="0"/>
        <w:iCs w:val="0"/>
        <w:smallCaps w:val="0"/>
        <w:color w:val="1B1B1E"/>
        <w:sz w:val="21"/>
        <w:szCs w:val="21"/>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0053208E"/>
    <w:multiLevelType w:val="multilevel"/>
    <w:tmpl w:val="0053208E"/>
    <w:lvl w:ilvl="0" w:tentative="0">
      <w:start w:val="1"/>
      <w:numFmt w:val="bullet"/>
      <w:lvlText w:val="●"/>
      <w:lvlJc w:val="left"/>
      <w:pPr>
        <w:ind w:left="720" w:hanging="360"/>
      </w:pPr>
      <w:rPr>
        <w:rFonts w:ascii="Arial" w:hAnsi="Arial" w:eastAsia="Arial" w:cs="Arial"/>
        <w:b w:val="0"/>
        <w:bCs w:val="0"/>
        <w:i w:val="0"/>
        <w:iCs w:val="0"/>
        <w:smallCaps w:val="0"/>
        <w:color w:val="1B1B1E"/>
        <w:sz w:val="21"/>
        <w:szCs w:val="21"/>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59ADCABA"/>
    <w:multiLevelType w:val="multilevel"/>
    <w:tmpl w:val="59ADCABA"/>
    <w:lvl w:ilvl="0" w:tentative="0">
      <w:start w:val="1"/>
      <w:numFmt w:val="bullet"/>
      <w:lvlText w:val="●"/>
      <w:lvlJc w:val="left"/>
      <w:pPr>
        <w:ind w:left="720" w:hanging="360"/>
      </w:pPr>
      <w:rPr>
        <w:rFonts w:ascii="Arial" w:hAnsi="Arial" w:eastAsia="Arial" w:cs="Arial"/>
        <w:b w:val="0"/>
        <w:bCs w:val="0"/>
        <w:i w:val="0"/>
        <w:iCs w:val="0"/>
        <w:smallCaps w:val="0"/>
        <w:color w:val="1B1B1E"/>
        <w:sz w:val="21"/>
        <w:szCs w:val="21"/>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02BC35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line="276" w:lineRule="auto"/>
    </w:pPr>
    <w:rPr>
      <w:rFonts w:ascii="Arial" w:hAnsi="Arial" w:eastAsia="Arial" w:cs="Arial"/>
      <w:sz w:val="22"/>
      <w:szCs w:val="22"/>
      <w:lang w:val="es"/>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qFormat/>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iCs/>
      <w:color w:val="666666"/>
      <w:sz w:val="22"/>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qFormat/>
    <w:uiPriority w:val="0"/>
    <w:pPr>
      <w:keepNext/>
      <w:keepLines/>
      <w:pageBreakBefore w:val="0"/>
      <w:spacing w:before="0" w:after="60"/>
    </w:pPr>
    <w:rPr>
      <w:sz w:val="52"/>
      <w:szCs w:val="52"/>
    </w:rPr>
  </w:style>
  <w:style w:type="table" w:customStyle="1" w:styleId="12">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Words>458</Words>
  <Characters>3071</Characters>
  <TotalTime>1</TotalTime>
  <ScaleCrop>false</ScaleCrop>
  <LinksUpToDate>false</LinksUpToDate>
  <CharactersWithSpaces>3506</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2026-07-03T21:32:35Z</dcterms:created>
  <dc:creator>penel</dc:creator>
  <cp:lastModifiedBy>Penélope Hernández</cp:lastModifiedBy>
  <dcterms:modified xsi:type="dcterms:W3CDTF">2026-07-03T21:34:45Z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eyJoZGlkIjoiZjU4NjUwYTY0YjA5MjViN2ZlN2M5ZWE4ZWRlMThjZWUiLCJ1c2VySWQiOiIxNjUxMDM1NjQ4OTQ4NyJ9</vt:lpwstr>
  </property>
  <property fmtid="{D5CDD505-2E9C-101B-9397-08002B2CF9AE}" pid="3" name="KSOProductBuildVer">
    <vt:lpwstr>3082-12.1.0.26880</vt:lpwstr>
  </property>
  <property fmtid="{D5CDD505-2E9C-101B-9397-08002B2CF9AE}" pid="4" name="ICV">
    <vt:lpwstr>76365BB23F374A9E8860723DB8EC3CF9_13</vt:lpwstr>
  </property>
</Properties>
</file>